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1A6" w:rsidRDefault="002F3B0F">
      <w:pPr>
        <w:spacing w:before="80" w:after="0" w:line="240" w:lineRule="auto"/>
        <w:jc w:val="right"/>
      </w:pPr>
      <w:r>
        <w:rPr>
          <w:rFonts w:ascii="Times New Roman" w:hAnsi="Times New Roman"/>
          <w:color w:val="000000"/>
        </w:rPr>
        <w:t xml:space="preserve">Załącznik Nr  1 do </w:t>
      </w:r>
    </w:p>
    <w:p w:rsidR="00D911A6" w:rsidRDefault="002F3B0F">
      <w:pPr>
        <w:spacing w:before="80" w:after="0" w:line="240" w:lineRule="auto"/>
        <w:jc w:val="right"/>
      </w:pPr>
      <w:r>
        <w:rPr>
          <w:rFonts w:ascii="Times New Roman" w:hAnsi="Times New Roman"/>
        </w:rPr>
        <w:t xml:space="preserve">Uchwały nr II/23/2018 </w:t>
      </w:r>
    </w:p>
    <w:p w:rsidR="00D911A6" w:rsidRDefault="002F3B0F">
      <w:pPr>
        <w:spacing w:before="80" w:after="0" w:line="240" w:lineRule="auto"/>
        <w:jc w:val="right"/>
      </w:pPr>
      <w:r>
        <w:rPr>
          <w:rFonts w:ascii="Times New Roman" w:hAnsi="Times New Roman"/>
        </w:rPr>
        <w:t>Rady Gminy Lubin z dnia 28 listopada 2018r.</w:t>
      </w:r>
      <w:r>
        <w:t xml:space="preserve"> </w:t>
      </w:r>
    </w:p>
    <w:p w:rsidR="00D911A6" w:rsidRDefault="00D911A6">
      <w:pPr>
        <w:spacing w:before="80" w:after="0" w:line="240" w:lineRule="auto"/>
        <w:jc w:val="right"/>
        <w:rPr>
          <w:rFonts w:ascii="Times New Roman" w:hAnsi="Times New Roman"/>
          <w:b/>
          <w:color w:val="000000"/>
        </w:rPr>
      </w:pPr>
    </w:p>
    <w:p w:rsidR="00D911A6" w:rsidRDefault="002F3B0F">
      <w:pPr>
        <w:spacing w:before="25" w:after="0"/>
        <w:jc w:val="center"/>
      </w:pPr>
      <w:r>
        <w:rPr>
          <w:rFonts w:ascii="Times New Roman" w:hAnsi="Times New Roman"/>
          <w:b/>
          <w:color w:val="000000"/>
        </w:rPr>
        <w:t xml:space="preserve">Regulamin funkcjonowania Punktów Selektywnego Zbierania Odpadów Komunalnych w Siedlcach i Oborze (PSZOK-ów) dla mieszkańców nieruchomości zamieszkałych na </w:t>
      </w:r>
      <w:r>
        <w:rPr>
          <w:rFonts w:ascii="Times New Roman" w:hAnsi="Times New Roman"/>
          <w:b/>
          <w:color w:val="000000"/>
        </w:rPr>
        <w:t>terenie gminy Lubin</w:t>
      </w:r>
    </w:p>
    <w:p w:rsidR="00D911A6" w:rsidRDefault="00D911A6">
      <w:pPr>
        <w:spacing w:before="25" w:after="0"/>
        <w:jc w:val="center"/>
        <w:rPr>
          <w:rFonts w:ascii="Times New Roman" w:hAnsi="Times New Roman"/>
        </w:rPr>
      </w:pPr>
    </w:p>
    <w:p w:rsidR="00D911A6" w:rsidRDefault="002F3B0F">
      <w:pPr>
        <w:pStyle w:val="Default"/>
        <w:jc w:val="center"/>
      </w:pPr>
      <w:r>
        <w:rPr>
          <w:rFonts w:ascii="Times New Roman" w:hAnsi="Times New Roman" w:cstheme="minorHAnsi"/>
          <w:b/>
          <w:bCs/>
          <w:sz w:val="22"/>
        </w:rPr>
        <w:t>§ 1</w:t>
      </w:r>
    </w:p>
    <w:p w:rsidR="00D911A6" w:rsidRDefault="002F3B0F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 w:cstheme="minorHAnsi"/>
          <w:sz w:val="22"/>
        </w:rPr>
        <w:t xml:space="preserve">Regulamin określa zasady przyjmowania odpadów komunalnych wytworzonych na nieruchomościach zamieszkałych Gminy Lubin przez Punkty Selektywnego Zbierania Odpadów Komunalnych (zwane dalej PSZOK) zlokalizowane na terenie gminy Lubin  </w:t>
      </w:r>
      <w:r>
        <w:rPr>
          <w:rFonts w:ascii="Times New Roman" w:hAnsi="Times New Roman" w:cstheme="minorHAnsi"/>
          <w:sz w:val="22"/>
        </w:rPr>
        <w:t xml:space="preserve">                                   w miejscowościach:</w:t>
      </w:r>
    </w:p>
    <w:p w:rsidR="00D911A6" w:rsidRDefault="002F3B0F">
      <w:pPr>
        <w:pStyle w:val="Default"/>
        <w:ind w:firstLine="360"/>
        <w:jc w:val="both"/>
      </w:pPr>
      <w:r>
        <w:rPr>
          <w:rFonts w:ascii="Times New Roman" w:hAnsi="Times New Roman" w:cstheme="minorHAnsi"/>
          <w:sz w:val="22"/>
        </w:rPr>
        <w:t>1) Obora, przy oczyszczalni ścieków (zwany dalej PSZOK Obora);</w:t>
      </w:r>
    </w:p>
    <w:p w:rsidR="00D911A6" w:rsidRDefault="002F3B0F">
      <w:pPr>
        <w:pStyle w:val="Default"/>
        <w:ind w:firstLine="360"/>
        <w:jc w:val="both"/>
      </w:pPr>
      <w:r>
        <w:rPr>
          <w:rFonts w:ascii="Times New Roman" w:hAnsi="Times New Roman" w:cstheme="minorHAnsi"/>
          <w:sz w:val="22"/>
        </w:rPr>
        <w:t>2) Siedlce, przy oczyszczalni ścieków (zwany dalej PSZOK Siedlce).</w:t>
      </w:r>
    </w:p>
    <w:p w:rsidR="00D911A6" w:rsidRDefault="002F3B0F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 w:cstheme="minorHAnsi"/>
          <w:sz w:val="22"/>
        </w:rPr>
        <w:t>Każdy PSZOK wymieniony w ust. 1 obsługuje wszystkich mieszkańców gminy L</w:t>
      </w:r>
      <w:r>
        <w:rPr>
          <w:rFonts w:ascii="Times New Roman" w:hAnsi="Times New Roman" w:cstheme="minorHAnsi"/>
          <w:sz w:val="22"/>
        </w:rPr>
        <w:t>ubin, którzy zamieszkują na terenie gminy Lubin i ujęci zostali w deklaracji o wysokości opłat za gospodarowanie odpadami</w:t>
      </w:r>
      <w:r>
        <w:rPr>
          <w:rFonts w:ascii="Times New Roman" w:hAnsi="Times New Roman" w:cs="Calibri"/>
          <w:sz w:val="22"/>
        </w:rPr>
        <w:t xml:space="preserve"> komunalnymi.</w:t>
      </w:r>
    </w:p>
    <w:p w:rsidR="00D911A6" w:rsidRDefault="002F3B0F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 w:cs="Calibri"/>
          <w:sz w:val="22"/>
        </w:rPr>
        <w:t>Punkty Selektywnego Zbierania Odpadów Komunalnych, o których mowa w ust. 1 stanowią własność Gminy Lubin.</w:t>
      </w:r>
    </w:p>
    <w:p w:rsidR="00D911A6" w:rsidRDefault="00D911A6">
      <w:pPr>
        <w:pStyle w:val="Default"/>
        <w:jc w:val="both"/>
        <w:rPr>
          <w:rFonts w:ascii="Times New Roman" w:hAnsi="Times New Roman" w:cstheme="minorHAnsi"/>
          <w:b/>
          <w:bCs/>
          <w:sz w:val="22"/>
        </w:rPr>
      </w:pPr>
    </w:p>
    <w:p w:rsidR="00D911A6" w:rsidRDefault="002F3B0F">
      <w:pPr>
        <w:pStyle w:val="Default"/>
        <w:jc w:val="center"/>
      </w:pPr>
      <w:r>
        <w:rPr>
          <w:rFonts w:ascii="Times New Roman" w:hAnsi="Times New Roman" w:cstheme="minorHAnsi"/>
          <w:b/>
          <w:bCs/>
          <w:sz w:val="22"/>
        </w:rPr>
        <w:t>§ 2</w:t>
      </w:r>
    </w:p>
    <w:p w:rsidR="00D911A6" w:rsidRDefault="002F3B0F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theme="minorHAnsi"/>
          <w:sz w:val="22"/>
        </w:rPr>
        <w:t>Do Punktów</w:t>
      </w:r>
      <w:r>
        <w:rPr>
          <w:rFonts w:ascii="Times New Roman" w:hAnsi="Times New Roman" w:cstheme="minorHAnsi"/>
          <w:sz w:val="22"/>
        </w:rPr>
        <w:t xml:space="preserve"> Selektywnego Zbierania Odpadów Komunalnych przyjmowane są nieodpłatnie (w ramach wniesionej opłaty za gospodarowanie odpadami komunalnymi na rzecz Gminy Lubin) wyłącznie odpady komunalne powstałe na nieruchomościach zamieszkałych znajdujących się na teren</w:t>
      </w:r>
      <w:r>
        <w:rPr>
          <w:rFonts w:ascii="Times New Roman" w:hAnsi="Times New Roman" w:cstheme="minorHAnsi"/>
          <w:sz w:val="22"/>
        </w:rPr>
        <w:t xml:space="preserve">ie gminy Lubin. </w:t>
      </w:r>
    </w:p>
    <w:p w:rsidR="00D911A6" w:rsidRDefault="002F3B0F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theme="minorHAnsi"/>
          <w:sz w:val="22"/>
        </w:rPr>
        <w:t xml:space="preserve">Osoba dostarczająca odpady komunalne do PSZOK zobowiązana jest do wypełnienia Oświadczenia dotyczącego miejsca pochodzenia odpadów dostarczonych do PSZOK. </w:t>
      </w:r>
    </w:p>
    <w:p w:rsidR="00D911A6" w:rsidRDefault="002F3B0F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theme="minorHAnsi"/>
          <w:sz w:val="22"/>
        </w:rPr>
        <w:t>Wykaz odpadów komunalnych przyjmowanych nieodpłatnie do PSZOK: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 w:cstheme="minorHAnsi"/>
          <w:sz w:val="22"/>
        </w:rPr>
        <w:t>Frakcja p</w:t>
      </w:r>
      <w:r>
        <w:rPr>
          <w:rFonts w:ascii="Times New Roman" w:hAnsi="Times New Roman"/>
          <w:sz w:val="22"/>
        </w:rPr>
        <w:t>apier: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- 15</w:t>
      </w:r>
      <w:r>
        <w:rPr>
          <w:rFonts w:ascii="Times New Roman" w:hAnsi="Times New Roman"/>
          <w:sz w:val="22"/>
        </w:rPr>
        <w:t xml:space="preserve"> 01 01 – Opakowania z papieru i tektury; 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 w:cs="Calibri"/>
          <w:sz w:val="22"/>
        </w:rPr>
        <w:t>- 20 01 01 –  Papier i tektura;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metale: </w:t>
      </w:r>
    </w:p>
    <w:p w:rsidR="00D911A6" w:rsidRDefault="002F3B0F">
      <w:pPr>
        <w:pStyle w:val="Akapitzlist"/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- 15 01 04 – Opakowania z metali;</w:t>
      </w:r>
    </w:p>
    <w:p w:rsidR="00D911A6" w:rsidRDefault="002F3B0F">
      <w:pPr>
        <w:pStyle w:val="Default"/>
        <w:spacing w:line="240" w:lineRule="auto"/>
        <w:ind w:firstLine="720"/>
        <w:jc w:val="both"/>
      </w:pPr>
      <w:r>
        <w:rPr>
          <w:rFonts w:ascii="Times New Roman" w:hAnsi="Times New Roman"/>
          <w:sz w:val="22"/>
        </w:rPr>
        <w:t>- 20 01 40 – Metale;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tworzywa sztuczne: </w:t>
      </w:r>
    </w:p>
    <w:p w:rsidR="00D911A6" w:rsidRDefault="002F3B0F">
      <w:pPr>
        <w:pStyle w:val="Akapitzlist"/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- 15 01 02 – Opakowania z tworzyw sztucznych;</w:t>
      </w:r>
    </w:p>
    <w:p w:rsidR="00D911A6" w:rsidRDefault="002F3B0F">
      <w:pPr>
        <w:pStyle w:val="Akapitzlist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- 20 01 39 – Tworzywa </w:t>
      </w:r>
      <w:r>
        <w:rPr>
          <w:rFonts w:ascii="Times New Roman" w:hAnsi="Times New Roman"/>
        </w:rPr>
        <w:t>sztuczne;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szkło: 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- 15 01 07 – Opakowania ze szkła;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- 20 01 02 – Szkło;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2"/>
        </w:rPr>
        <w:t>Frakcja opakowania wielomateriałowe: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- 15 01 05 – Opakowania wielomateriałowe;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zmieszane odpady opakowaniowe: </w:t>
      </w:r>
    </w:p>
    <w:p w:rsidR="00D911A6" w:rsidRDefault="002F3B0F">
      <w:pPr>
        <w:pStyle w:val="Akapitzlist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- 15 01 06 – Zmieszane odpady opakowaniowe;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odpady komunalne ulegające biodegradacji: </w:t>
      </w:r>
    </w:p>
    <w:p w:rsidR="00D911A6" w:rsidRDefault="002F3B0F">
      <w:pPr>
        <w:pStyle w:val="Akapitzlist"/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- 20 02 01 – Odpady ulegające biodegradacji z pielęgnacji terenów zielonych (trawa, liście, gałęzie);</w:t>
      </w:r>
    </w:p>
    <w:p w:rsidR="00D911A6" w:rsidRDefault="002F3B0F">
      <w:pPr>
        <w:pStyle w:val="Akapitzlist"/>
        <w:suppressAutoHyphens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- 20 01 25 – Oleje i tłuszcze jadalne;</w:t>
      </w:r>
    </w:p>
    <w:p w:rsidR="00D911A6" w:rsidRDefault="002F3B0F">
      <w:pPr>
        <w:pStyle w:val="Akapitzlist"/>
        <w:suppressAutoHyphens w:val="0"/>
        <w:spacing w:after="0" w:line="240" w:lineRule="auto"/>
        <w:jc w:val="both"/>
      </w:pPr>
      <w:r>
        <w:rPr>
          <w:rFonts w:ascii="Times New Roman" w:hAnsi="Times New Roman"/>
        </w:rPr>
        <w:t xml:space="preserve">- 20 01 38 – Drewno inne niż wymienione w 20 01 37 - drewno bez </w:t>
      </w:r>
      <w:r>
        <w:rPr>
          <w:rFonts w:ascii="Times New Roman" w:hAnsi="Times New Roman"/>
        </w:rPr>
        <w:t>elementów metalowych                  i szkła (deski, palety ), nie malowane i nie lakierowane;</w:t>
      </w:r>
    </w:p>
    <w:p w:rsidR="00D911A6" w:rsidRDefault="00D911A6">
      <w:pPr>
        <w:pStyle w:val="Akapitzlist"/>
        <w:suppressAutoHyphens w:val="0"/>
        <w:spacing w:after="0" w:line="240" w:lineRule="auto"/>
        <w:jc w:val="both"/>
        <w:rPr>
          <w:rFonts w:ascii="Times New Roman" w:hAnsi="Times New Roman"/>
        </w:rPr>
      </w:pP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przeterminowane leki: </w:t>
      </w:r>
    </w:p>
    <w:p w:rsidR="00D911A6" w:rsidRDefault="002F3B0F">
      <w:pPr>
        <w:pStyle w:val="Default"/>
        <w:spacing w:line="240" w:lineRule="auto"/>
        <w:ind w:firstLine="720"/>
        <w:jc w:val="both"/>
      </w:pPr>
      <w:r>
        <w:rPr>
          <w:rFonts w:ascii="Times New Roman" w:hAnsi="Times New Roman"/>
          <w:sz w:val="22"/>
        </w:rPr>
        <w:lastRenderedPageBreak/>
        <w:t>- 20 01 32*– Leki inne niż wymienione w 20 01 31;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chemikalia oraz zanieczyszczone opakowania: 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- 20 01 13* – Rozpuszczal</w:t>
      </w:r>
      <w:r>
        <w:rPr>
          <w:rFonts w:ascii="Times New Roman" w:hAnsi="Times New Roman"/>
          <w:sz w:val="22"/>
        </w:rPr>
        <w:t>niki;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- 20 01 19* – Środki ochrony roślin’</w:t>
      </w:r>
    </w:p>
    <w:p w:rsidR="00D911A6" w:rsidRDefault="002F3B0F">
      <w:pPr>
        <w:pStyle w:val="Default"/>
        <w:spacing w:line="240" w:lineRule="auto"/>
        <w:ind w:left="720"/>
      </w:pPr>
      <w:r>
        <w:rPr>
          <w:rFonts w:ascii="Times New Roman" w:hAnsi="Times New Roman"/>
          <w:sz w:val="22"/>
        </w:rPr>
        <w:t>- 20 01 27* – Farby, tusze, farby drukarskie, kleje, lepiszcze i żywice zawierające substancje niebezpieczne;</w:t>
      </w:r>
    </w:p>
    <w:p w:rsidR="00D911A6" w:rsidRDefault="002F3B0F">
      <w:pPr>
        <w:pStyle w:val="Default"/>
        <w:spacing w:line="240" w:lineRule="auto"/>
        <w:ind w:left="720"/>
      </w:pPr>
      <w:r>
        <w:rPr>
          <w:rFonts w:ascii="Times New Roman" w:hAnsi="Times New Roman"/>
          <w:sz w:val="22"/>
        </w:rPr>
        <w:t xml:space="preserve">- 20 01 28 – Farby, tusze, farby drukarskie, kleje, lepiszcze i żywice inne niż wymienione w 20 01 </w:t>
      </w:r>
      <w:r>
        <w:rPr>
          <w:rFonts w:ascii="Times New Roman" w:hAnsi="Times New Roman"/>
          <w:sz w:val="22"/>
        </w:rPr>
        <w:t>27;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- 20 01 29* – Detergenty zawierające substancje niebezpieczne;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- 20 01 30 – Detergenty inne niż wymienione w 20 01 29;</w:t>
      </w:r>
    </w:p>
    <w:p w:rsidR="00D911A6" w:rsidRDefault="002F3B0F">
      <w:pPr>
        <w:pStyle w:val="Default"/>
        <w:spacing w:line="240" w:lineRule="auto"/>
        <w:ind w:firstLine="720"/>
      </w:pPr>
      <w:r>
        <w:rPr>
          <w:rFonts w:ascii="Times New Roman" w:hAnsi="Times New Roman"/>
          <w:sz w:val="22"/>
        </w:rPr>
        <w:t>- 20 01 80 – Środki ochrony roślin inne niż wymienione w 20 01 19;</w:t>
      </w:r>
    </w:p>
    <w:p w:rsidR="00D911A6" w:rsidRDefault="002F3B0F">
      <w:pPr>
        <w:pStyle w:val="Default"/>
        <w:spacing w:line="240" w:lineRule="auto"/>
        <w:ind w:left="720"/>
      </w:pPr>
      <w:r>
        <w:rPr>
          <w:rFonts w:ascii="Times New Roman" w:hAnsi="Times New Roman"/>
          <w:sz w:val="22"/>
        </w:rPr>
        <w:t>- 15 01 10*– Opakowania zawierające pozostałości substancji niebez</w:t>
      </w:r>
      <w:r>
        <w:rPr>
          <w:rFonts w:ascii="Times New Roman" w:hAnsi="Times New Roman"/>
          <w:sz w:val="22"/>
        </w:rPr>
        <w:t>piecznych lub nimi zanieczyszczone;</w:t>
      </w:r>
    </w:p>
    <w:p w:rsidR="00D911A6" w:rsidRDefault="002F3B0F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/>
          <w:sz w:val="22"/>
        </w:rPr>
        <w:t xml:space="preserve">Frakcja zużyte baterie i akumulatory: </w:t>
      </w:r>
    </w:p>
    <w:p w:rsidR="00D911A6" w:rsidRDefault="002F3B0F">
      <w:pPr>
        <w:pStyle w:val="Akapitzlist"/>
        <w:suppressAutoHyphens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- 20 01 33* – Baterie i akumulatory łącznie z bateriami i akumulatorami wymienionymi w 16 06 01, 16 06 02 lub 16 06 03 oraz niesortowane baterie i akumulatory zawierające te baterie</w:t>
      </w:r>
      <w:r>
        <w:rPr>
          <w:rFonts w:ascii="Times New Roman" w:hAnsi="Times New Roman"/>
        </w:rPr>
        <w:t>;</w:t>
      </w:r>
    </w:p>
    <w:p w:rsidR="00D911A6" w:rsidRDefault="002F3B0F">
      <w:pPr>
        <w:pStyle w:val="Akapitzlist"/>
        <w:suppressAutoHyphens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- 20 01 34 – Baterie i akumulatory inne niż wymienione w 20 01 33;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 xml:space="preserve">Frakcja zużyty sprzęt elektryczny i elektroniczny: 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- 20 01 21* – Lampy fluorescencyjne i inne odpady zawierające rtęć;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- 20 01 23* – Urządzenia zawierające freony;</w:t>
      </w:r>
    </w:p>
    <w:p w:rsidR="00D911A6" w:rsidRDefault="002F3B0F">
      <w:pPr>
        <w:pStyle w:val="Default"/>
        <w:ind w:left="720"/>
        <w:jc w:val="both"/>
      </w:pPr>
      <w:r>
        <w:rPr>
          <w:rFonts w:ascii="Times New Roman" w:hAnsi="Times New Roman"/>
          <w:sz w:val="22"/>
        </w:rPr>
        <w:t>- 20 01 35* – Zużyte u</w:t>
      </w:r>
      <w:r>
        <w:rPr>
          <w:rFonts w:ascii="Times New Roman" w:hAnsi="Times New Roman"/>
          <w:sz w:val="22"/>
        </w:rPr>
        <w:t>rządzenia elektryczne i elektroniczne inne niż wymienione w 20 01 21 i 20 01 23 zawierające niebezpieczne składniki;</w:t>
      </w:r>
    </w:p>
    <w:p w:rsidR="00D911A6" w:rsidRDefault="002F3B0F">
      <w:pPr>
        <w:pStyle w:val="Default"/>
        <w:ind w:left="720"/>
        <w:jc w:val="both"/>
      </w:pPr>
      <w:r>
        <w:rPr>
          <w:rFonts w:ascii="Times New Roman" w:hAnsi="Times New Roman"/>
          <w:sz w:val="22"/>
        </w:rPr>
        <w:t>- 20 01 36 – Zużyte urządzenia elektryczne i elektroniczne inne niż wymienione w 20 01 21, 20 01 23 i 20 01 35.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>Frakcja meble i inne odpady</w:t>
      </w:r>
      <w:r>
        <w:rPr>
          <w:rFonts w:ascii="Times New Roman" w:hAnsi="Times New Roman"/>
          <w:sz w:val="22"/>
        </w:rPr>
        <w:t xml:space="preserve"> wielkogabarytowe: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- 20 03 07 – Odpady wielkogabarytowe.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>Frakcja odpady budowlane i rozbiórkowe: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- 17 01 01 – Odpady betonu oraz gruz betonowy z rozbiórek i remontów;</w:t>
      </w:r>
    </w:p>
    <w:p w:rsidR="00D911A6" w:rsidRDefault="002F3B0F">
      <w:pPr>
        <w:pStyle w:val="Default"/>
        <w:ind w:left="720"/>
        <w:jc w:val="both"/>
      </w:pPr>
      <w:r>
        <w:rPr>
          <w:rFonts w:ascii="Times New Roman" w:hAnsi="Times New Roman"/>
          <w:sz w:val="22"/>
        </w:rPr>
        <w:t xml:space="preserve">- 17 09 04 – Zmieszane odpady z budowy, remontów i demontażu inne niż wymienione w 17 09 </w:t>
      </w:r>
      <w:r>
        <w:rPr>
          <w:rFonts w:ascii="Times New Roman" w:hAnsi="Times New Roman"/>
          <w:sz w:val="22"/>
        </w:rPr>
        <w:t>01, 17 09 02 i 17 09 03;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>Frakcja zużyte opony: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- 16 01 03 – Zużyte opony.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>Frakcja odpady zielone:</w:t>
      </w:r>
    </w:p>
    <w:p w:rsidR="00D911A6" w:rsidRDefault="002F3B0F">
      <w:pPr>
        <w:pStyle w:val="Default"/>
        <w:ind w:left="720"/>
        <w:jc w:val="both"/>
      </w:pPr>
      <w:r>
        <w:rPr>
          <w:rFonts w:ascii="Times New Roman" w:hAnsi="Times New Roman"/>
          <w:sz w:val="22"/>
        </w:rPr>
        <w:t>- 20 02 01 – Odpady ulegające biodegradacji z pielęgnacji terenów zielonych (trawa, liście, gałęzie);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 xml:space="preserve">Frakcja odzież i Tekstylia inne niż </w:t>
      </w:r>
      <w:r>
        <w:rPr>
          <w:rFonts w:ascii="Times New Roman" w:hAnsi="Times New Roman"/>
          <w:sz w:val="22"/>
        </w:rPr>
        <w:t>biodegradowalne: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- 20 01 10 – Odzież z włókien naturalnych;</w:t>
      </w:r>
    </w:p>
    <w:p w:rsidR="00D911A6" w:rsidRDefault="002F3B0F">
      <w:pPr>
        <w:pStyle w:val="Default"/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</w:rPr>
        <w:t>Frakcja  inne odpady nie wymienione wyżej:</w:t>
      </w:r>
    </w:p>
    <w:p w:rsidR="00D911A6" w:rsidRDefault="002F3B0F">
      <w:pPr>
        <w:pStyle w:val="Default"/>
        <w:ind w:firstLine="720"/>
        <w:jc w:val="both"/>
      </w:pPr>
      <w:r>
        <w:rPr>
          <w:rFonts w:ascii="Times New Roman" w:hAnsi="Times New Roman"/>
          <w:sz w:val="22"/>
        </w:rPr>
        <w:t>- 20 01 26* – Oleje i tłuszcze inne niż wymienione w 20 01 25.</w:t>
      </w:r>
    </w:p>
    <w:p w:rsidR="00D911A6" w:rsidRDefault="002F3B0F">
      <w:pPr>
        <w:pStyle w:val="Default"/>
        <w:ind w:left="426" w:hanging="426"/>
        <w:jc w:val="both"/>
      </w:pPr>
      <w:r>
        <w:rPr>
          <w:rFonts w:ascii="Times New Roman" w:hAnsi="Times New Roman" w:cstheme="minorHAnsi"/>
          <w:sz w:val="22"/>
        </w:rPr>
        <w:t>4. Do PSZOK mieszkaniec nieruchomości może przekazać bezpłatnie odpady remontowo-budowlane</w:t>
      </w:r>
      <w:r>
        <w:rPr>
          <w:rFonts w:ascii="Times New Roman" w:hAnsi="Times New Roman" w:cstheme="minorHAnsi"/>
          <w:sz w:val="22"/>
        </w:rPr>
        <w:t xml:space="preserve"> i gruz powstałe na nieruchomości zamieszkałej w trakcie remontów wykonywanych we własnym zakresie.</w:t>
      </w:r>
    </w:p>
    <w:p w:rsidR="00D911A6" w:rsidRDefault="00D911A6">
      <w:pPr>
        <w:pStyle w:val="Default"/>
        <w:ind w:left="426" w:hanging="426"/>
        <w:jc w:val="both"/>
        <w:rPr>
          <w:rFonts w:ascii="Times New Roman" w:hAnsi="Times New Roman" w:cstheme="minorHAnsi"/>
          <w:sz w:val="22"/>
        </w:rPr>
      </w:pPr>
    </w:p>
    <w:p w:rsidR="00D911A6" w:rsidRDefault="002F3B0F">
      <w:pPr>
        <w:pStyle w:val="Default"/>
        <w:jc w:val="center"/>
      </w:pPr>
      <w:r>
        <w:rPr>
          <w:rFonts w:ascii="Times New Roman" w:hAnsi="Times New Roman" w:cstheme="minorHAnsi"/>
          <w:b/>
          <w:bCs/>
          <w:sz w:val="22"/>
        </w:rPr>
        <w:t>§ 3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 xml:space="preserve">Mieszkańcy dostarczają odpady do PSZOK we własnym zakresie wyłącznie pojazdami                         o dopuszczalnej masie całkowitej do 3,5 tony. 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>Przyjęcia odpadów dokonuje pracownik PSZOK.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>Osoby korzystające z PSZOK zobowiązane są do samodzielnego roz</w:t>
      </w:r>
      <w:r>
        <w:rPr>
          <w:rFonts w:ascii="Times New Roman" w:hAnsi="Times New Roman" w:cstheme="minorHAnsi"/>
          <w:sz w:val="22"/>
        </w:rPr>
        <w:t>ładunku odpadów                                w sposób selektywny, zgodnie ze wskazaniami obsługi. Obsługa PSZOK nie ma obowiązku rozładunku dostarczonych odpadów.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 xml:space="preserve">Przy wyjeździe z PSZOK mieszkaniec potwierdza pracownikowi PSZOK własnoręcznym podpisem na </w:t>
      </w:r>
      <w:r>
        <w:rPr>
          <w:rFonts w:ascii="Times New Roman" w:hAnsi="Times New Roman" w:cstheme="minorHAnsi"/>
          <w:sz w:val="22"/>
        </w:rPr>
        <w:t>Oświadczeniu (zał. nr 1) rodzaj i wagę dostarczonych odpadów.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lastRenderedPageBreak/>
        <w:t>Odpady dostarczane do PSZOK muszą być posegregowane.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>Dostarczone odpady nie mogą być zmieszane, ani zanieczyszczone innymi odpadami.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>Odpady wymagające opakowania przyjmowane są wyłącznie w szcze</w:t>
      </w:r>
      <w:r>
        <w:rPr>
          <w:rFonts w:ascii="Times New Roman" w:hAnsi="Times New Roman" w:cstheme="minorHAnsi"/>
          <w:sz w:val="22"/>
        </w:rPr>
        <w:t>lnych i nie cieknących pojemnikach, zawierających informację o rodzaju odpadu.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 xml:space="preserve">Odpady niebezpieczne płynne (farby, lakiery, smary oleje, </w:t>
      </w:r>
      <w:proofErr w:type="spellStart"/>
      <w:r>
        <w:rPr>
          <w:rFonts w:ascii="Times New Roman" w:hAnsi="Times New Roman" w:cstheme="minorHAnsi"/>
          <w:sz w:val="22"/>
        </w:rPr>
        <w:t>śor</w:t>
      </w:r>
      <w:proofErr w:type="spellEnd"/>
      <w:r>
        <w:rPr>
          <w:rFonts w:ascii="Times New Roman" w:hAnsi="Times New Roman" w:cstheme="minorHAnsi"/>
          <w:sz w:val="22"/>
        </w:rPr>
        <w:t xml:space="preserve"> itp.) winny znajdować się                            w oryginalnych, nieuszkodzonych opakowaniach producenta.</w:t>
      </w:r>
    </w:p>
    <w:p w:rsidR="00D911A6" w:rsidRDefault="002F3B0F">
      <w:pPr>
        <w:pStyle w:val="Default"/>
        <w:numPr>
          <w:ilvl w:val="0"/>
          <w:numId w:val="7"/>
        </w:numPr>
        <w:jc w:val="both"/>
      </w:pPr>
      <w:r>
        <w:rPr>
          <w:rFonts w:ascii="Times New Roman" w:hAnsi="Times New Roman" w:cstheme="minorHAnsi"/>
          <w:sz w:val="22"/>
        </w:rPr>
        <w:t>Praco</w:t>
      </w:r>
      <w:r>
        <w:rPr>
          <w:rFonts w:ascii="Times New Roman" w:hAnsi="Times New Roman" w:cstheme="minorHAnsi"/>
          <w:sz w:val="22"/>
        </w:rPr>
        <w:t>wnik PSZOK może odmówić przyjęcia odpadów komunalnych, gdy okaże się, że dostarczone odpady nie pochodzą z nieruchomości zamieszkałej z terenu gminy Lubin bądź gdy osoba dostarczająca odpady do PSZOK odmówi złożenia oświadczenia dotyczącego miejsca pochodz</w:t>
      </w:r>
      <w:r>
        <w:rPr>
          <w:rFonts w:ascii="Times New Roman" w:hAnsi="Times New Roman" w:cstheme="minorHAnsi"/>
          <w:sz w:val="22"/>
        </w:rPr>
        <w:t>enia odpadów lub pochodzą one z prowadzonej działalności gospodarczej.</w:t>
      </w:r>
    </w:p>
    <w:p w:rsidR="00D911A6" w:rsidRDefault="00D911A6">
      <w:pPr>
        <w:pStyle w:val="Default"/>
        <w:jc w:val="both"/>
        <w:rPr>
          <w:rFonts w:ascii="Times New Roman" w:hAnsi="Times New Roman" w:cstheme="minorHAnsi"/>
          <w:sz w:val="22"/>
        </w:rPr>
      </w:pPr>
    </w:p>
    <w:p w:rsidR="00D911A6" w:rsidRDefault="002F3B0F">
      <w:pPr>
        <w:pStyle w:val="Default"/>
        <w:jc w:val="center"/>
      </w:pPr>
      <w:r>
        <w:rPr>
          <w:rFonts w:ascii="Times New Roman" w:hAnsi="Times New Roman" w:cstheme="minorHAnsi"/>
          <w:b/>
          <w:bCs/>
          <w:sz w:val="22"/>
        </w:rPr>
        <w:t>§ 4</w:t>
      </w:r>
    </w:p>
    <w:p w:rsidR="00D911A6" w:rsidRDefault="002F3B0F">
      <w:pPr>
        <w:pStyle w:val="Default"/>
        <w:numPr>
          <w:ilvl w:val="0"/>
          <w:numId w:val="3"/>
        </w:numPr>
        <w:ind w:left="426" w:hanging="426"/>
        <w:jc w:val="both"/>
      </w:pPr>
      <w:r>
        <w:rPr>
          <w:rFonts w:ascii="Times New Roman" w:hAnsi="Times New Roman" w:cstheme="minorHAnsi"/>
          <w:sz w:val="22"/>
        </w:rPr>
        <w:t>Punkty Selektywnego Zbierania Odpadów Komunalnych są czynne:</w:t>
      </w:r>
    </w:p>
    <w:p w:rsidR="00D911A6" w:rsidRDefault="002F3B0F">
      <w:pPr>
        <w:pStyle w:val="Default"/>
        <w:ind w:left="851" w:hanging="425"/>
        <w:jc w:val="both"/>
      </w:pPr>
      <w:r>
        <w:rPr>
          <w:rFonts w:ascii="Times New Roman" w:hAnsi="Times New Roman" w:cstheme="minorHAnsi"/>
          <w:sz w:val="22"/>
        </w:rPr>
        <w:t>-</w:t>
      </w:r>
      <w:r>
        <w:rPr>
          <w:rFonts w:ascii="Times New Roman" w:hAnsi="Times New Roman" w:cstheme="minorHAnsi"/>
          <w:sz w:val="22"/>
        </w:rPr>
        <w:tab/>
        <w:t>poniedziałek, wtorek, środa</w:t>
      </w:r>
      <w:r>
        <w:rPr>
          <w:rFonts w:ascii="Times New Roman" w:hAnsi="Times New Roman" w:cstheme="minorHAnsi"/>
          <w:sz w:val="22"/>
        </w:rPr>
        <w:tab/>
      </w:r>
      <w:r>
        <w:rPr>
          <w:rFonts w:ascii="Times New Roman" w:hAnsi="Times New Roman" w:cstheme="minorHAnsi"/>
          <w:sz w:val="22"/>
        </w:rPr>
        <w:tab/>
        <w:t>od 07:30 do 13:30,</w:t>
      </w:r>
    </w:p>
    <w:p w:rsidR="00D911A6" w:rsidRDefault="002F3B0F">
      <w:pPr>
        <w:pStyle w:val="Default"/>
        <w:ind w:left="851" w:hanging="425"/>
        <w:jc w:val="both"/>
      </w:pPr>
      <w:r>
        <w:rPr>
          <w:rFonts w:ascii="Times New Roman" w:hAnsi="Times New Roman" w:cstheme="minorHAnsi"/>
          <w:sz w:val="22"/>
        </w:rPr>
        <w:t>-</w:t>
      </w:r>
      <w:r>
        <w:rPr>
          <w:rFonts w:ascii="Times New Roman" w:hAnsi="Times New Roman" w:cstheme="minorHAnsi"/>
          <w:sz w:val="22"/>
        </w:rPr>
        <w:tab/>
        <w:t>czwartek, piątek</w:t>
      </w:r>
      <w:r>
        <w:rPr>
          <w:rFonts w:ascii="Times New Roman" w:hAnsi="Times New Roman" w:cstheme="minorHAnsi"/>
          <w:sz w:val="22"/>
        </w:rPr>
        <w:tab/>
      </w:r>
      <w:r>
        <w:rPr>
          <w:rFonts w:ascii="Times New Roman" w:hAnsi="Times New Roman" w:cstheme="minorHAnsi"/>
          <w:sz w:val="22"/>
        </w:rPr>
        <w:tab/>
      </w:r>
      <w:r>
        <w:rPr>
          <w:rFonts w:ascii="Times New Roman" w:hAnsi="Times New Roman" w:cstheme="minorHAnsi"/>
          <w:sz w:val="22"/>
        </w:rPr>
        <w:tab/>
        <w:t>od 14:30 do 19:00,</w:t>
      </w:r>
    </w:p>
    <w:p w:rsidR="00D911A6" w:rsidRDefault="002F3B0F">
      <w:pPr>
        <w:pStyle w:val="Default"/>
        <w:ind w:left="851" w:hanging="425"/>
        <w:jc w:val="both"/>
      </w:pPr>
      <w:r>
        <w:rPr>
          <w:rFonts w:ascii="Times New Roman" w:hAnsi="Times New Roman" w:cstheme="minorHAnsi"/>
          <w:sz w:val="22"/>
        </w:rPr>
        <w:t>-</w:t>
      </w:r>
      <w:r>
        <w:rPr>
          <w:rFonts w:ascii="Times New Roman" w:hAnsi="Times New Roman" w:cstheme="minorHAnsi"/>
          <w:sz w:val="22"/>
        </w:rPr>
        <w:tab/>
        <w:t xml:space="preserve">sobota </w:t>
      </w:r>
      <w:r>
        <w:rPr>
          <w:rFonts w:ascii="Times New Roman" w:hAnsi="Times New Roman" w:cstheme="minorHAnsi"/>
          <w:sz w:val="22"/>
        </w:rPr>
        <w:tab/>
      </w:r>
      <w:r>
        <w:rPr>
          <w:rFonts w:ascii="Times New Roman" w:hAnsi="Times New Roman" w:cstheme="minorHAnsi"/>
          <w:sz w:val="22"/>
        </w:rPr>
        <w:tab/>
      </w:r>
      <w:r>
        <w:rPr>
          <w:rFonts w:ascii="Times New Roman" w:hAnsi="Times New Roman" w:cstheme="minorHAnsi"/>
          <w:sz w:val="22"/>
        </w:rPr>
        <w:tab/>
      </w:r>
      <w:r>
        <w:rPr>
          <w:rFonts w:ascii="Times New Roman" w:hAnsi="Times New Roman" w:cstheme="minorHAnsi"/>
          <w:sz w:val="22"/>
        </w:rPr>
        <w:tab/>
        <w:t xml:space="preserve">od 07:30 do </w:t>
      </w:r>
      <w:r>
        <w:rPr>
          <w:rFonts w:ascii="Times New Roman" w:hAnsi="Times New Roman" w:cstheme="minorHAnsi"/>
          <w:sz w:val="22"/>
        </w:rPr>
        <w:t>13:30,</w:t>
      </w:r>
    </w:p>
    <w:p w:rsidR="00D911A6" w:rsidRDefault="002F3B0F">
      <w:pPr>
        <w:pStyle w:val="Default"/>
        <w:ind w:left="851" w:hanging="425"/>
        <w:jc w:val="both"/>
      </w:pPr>
      <w:r>
        <w:rPr>
          <w:rFonts w:ascii="Times New Roman" w:hAnsi="Times New Roman" w:cstheme="minorHAnsi"/>
          <w:sz w:val="22"/>
        </w:rPr>
        <w:t>z wyjątkiem dni ustawowo wolnych.</w:t>
      </w:r>
    </w:p>
    <w:p w:rsidR="00D911A6" w:rsidRDefault="00D911A6">
      <w:pPr>
        <w:pStyle w:val="Default"/>
        <w:ind w:left="426"/>
        <w:jc w:val="both"/>
        <w:rPr>
          <w:rFonts w:ascii="Times New Roman" w:hAnsi="Times New Roman" w:cstheme="minorHAnsi"/>
          <w:sz w:val="22"/>
        </w:rPr>
      </w:pPr>
    </w:p>
    <w:p w:rsidR="00D911A6" w:rsidRDefault="002F3B0F">
      <w:pPr>
        <w:pStyle w:val="Default"/>
        <w:jc w:val="center"/>
      </w:pPr>
      <w:r>
        <w:rPr>
          <w:rFonts w:ascii="Times New Roman" w:hAnsi="Times New Roman" w:cstheme="minorHAnsi"/>
          <w:b/>
          <w:bCs/>
          <w:sz w:val="22"/>
        </w:rPr>
        <w:t>§ 5</w:t>
      </w:r>
    </w:p>
    <w:p w:rsidR="00D911A6" w:rsidRDefault="002F3B0F">
      <w:pPr>
        <w:pStyle w:val="Default"/>
        <w:jc w:val="both"/>
      </w:pPr>
      <w:r>
        <w:rPr>
          <w:rFonts w:ascii="Times New Roman" w:hAnsi="Times New Roman" w:cstheme="minorHAnsi"/>
          <w:sz w:val="22"/>
        </w:rPr>
        <w:t xml:space="preserve">W Punktach Selektywnego Zbierania Odpadów Komunalnych nie będą przyjmowane: </w:t>
      </w:r>
    </w:p>
    <w:p w:rsidR="00D911A6" w:rsidRDefault="002F3B0F">
      <w:pPr>
        <w:pStyle w:val="Default"/>
        <w:numPr>
          <w:ilvl w:val="0"/>
          <w:numId w:val="4"/>
        </w:numPr>
        <w:spacing w:after="74"/>
        <w:jc w:val="both"/>
      </w:pPr>
      <w:r>
        <w:rPr>
          <w:rFonts w:ascii="Times New Roman" w:hAnsi="Times New Roman" w:cstheme="minorHAnsi"/>
          <w:sz w:val="22"/>
        </w:rPr>
        <w:t xml:space="preserve">zmieszane odpady komunalne, </w:t>
      </w:r>
    </w:p>
    <w:p w:rsidR="00D911A6" w:rsidRDefault="002F3B0F">
      <w:pPr>
        <w:pStyle w:val="Default"/>
        <w:numPr>
          <w:ilvl w:val="0"/>
          <w:numId w:val="4"/>
        </w:numPr>
        <w:spacing w:after="74"/>
        <w:jc w:val="both"/>
      </w:pPr>
      <w:r>
        <w:rPr>
          <w:rFonts w:ascii="Times New Roman" w:hAnsi="Times New Roman" w:cstheme="minorHAnsi"/>
          <w:sz w:val="22"/>
        </w:rPr>
        <w:t>odpady zawierające azbest,</w:t>
      </w:r>
    </w:p>
    <w:p w:rsidR="00D911A6" w:rsidRDefault="002F3B0F">
      <w:pPr>
        <w:pStyle w:val="Default"/>
        <w:numPr>
          <w:ilvl w:val="0"/>
          <w:numId w:val="4"/>
        </w:numPr>
        <w:spacing w:after="74"/>
        <w:jc w:val="both"/>
      </w:pPr>
      <w:r>
        <w:rPr>
          <w:rFonts w:ascii="Times New Roman" w:hAnsi="Times New Roman" w:cstheme="minorHAnsi"/>
          <w:sz w:val="22"/>
        </w:rPr>
        <w:t>odpady pochodzące z działalności gospodarczej lub nieruchomości niezamieszkał</w:t>
      </w:r>
      <w:r>
        <w:rPr>
          <w:rFonts w:ascii="Times New Roman" w:hAnsi="Times New Roman" w:cstheme="minorHAnsi"/>
          <w:sz w:val="22"/>
        </w:rPr>
        <w:t>ych.</w:t>
      </w:r>
    </w:p>
    <w:p w:rsidR="00D911A6" w:rsidRDefault="00D911A6">
      <w:pPr>
        <w:pStyle w:val="Default"/>
        <w:jc w:val="both"/>
        <w:rPr>
          <w:rFonts w:ascii="Times New Roman" w:hAnsi="Times New Roman" w:cstheme="minorHAnsi"/>
          <w:sz w:val="22"/>
        </w:rPr>
      </w:pPr>
    </w:p>
    <w:p w:rsidR="00D911A6" w:rsidRDefault="002F3B0F">
      <w:pPr>
        <w:pStyle w:val="Default"/>
        <w:jc w:val="center"/>
      </w:pPr>
      <w:r>
        <w:rPr>
          <w:rFonts w:ascii="Times New Roman" w:hAnsi="Times New Roman" w:cstheme="minorHAnsi"/>
          <w:b/>
          <w:bCs/>
          <w:sz w:val="22"/>
        </w:rPr>
        <w:t>§ 6</w:t>
      </w:r>
    </w:p>
    <w:p w:rsidR="00D911A6" w:rsidRDefault="002F3B0F">
      <w:pPr>
        <w:pStyle w:val="Default"/>
        <w:numPr>
          <w:ilvl w:val="0"/>
          <w:numId w:val="1"/>
        </w:numPr>
        <w:ind w:left="426" w:hanging="426"/>
        <w:jc w:val="both"/>
      </w:pPr>
      <w:r>
        <w:rPr>
          <w:rFonts w:ascii="Times New Roman" w:hAnsi="Times New Roman" w:cstheme="minorHAnsi"/>
          <w:sz w:val="22"/>
        </w:rPr>
        <w:t xml:space="preserve">Niniejszy Regulamin obowiązuje od dnia oddania do użytkowania PSZOK, o których mowa w § 1 ust. 1 regulaminu. </w:t>
      </w:r>
    </w:p>
    <w:p w:rsidR="00D911A6" w:rsidRDefault="00D911A6">
      <w:pPr>
        <w:pStyle w:val="Default"/>
        <w:spacing w:before="80" w:after="200"/>
        <w:ind w:left="426" w:hanging="426"/>
        <w:jc w:val="both"/>
        <w:rPr>
          <w:rFonts w:ascii="Times New Roman" w:hAnsi="Times New Roman" w:cstheme="minorHAnsi"/>
          <w:sz w:val="22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D911A6">
      <w:pPr>
        <w:spacing w:before="80" w:after="0"/>
        <w:rPr>
          <w:rFonts w:ascii="Times New Roman" w:hAnsi="Times New Roman"/>
        </w:rPr>
      </w:pPr>
    </w:p>
    <w:p w:rsidR="00D911A6" w:rsidRDefault="002F3B0F">
      <w:pPr>
        <w:spacing w:before="80" w:after="0"/>
        <w:jc w:val="both"/>
      </w:pPr>
      <w:r>
        <w:rPr>
          <w:rFonts w:ascii="Times New Roman" w:hAnsi="Times New Roman"/>
          <w:color w:val="000000"/>
        </w:rPr>
        <w:t xml:space="preserve">Załącznik Nr 1 do Regulaminu funkcjonowania PSZOK dla mieszkańców nieruchomości zamieszkałych na terenie gminy </w:t>
      </w:r>
      <w:r>
        <w:rPr>
          <w:rFonts w:ascii="Times New Roman" w:hAnsi="Times New Roman"/>
          <w:color w:val="000000"/>
        </w:rPr>
        <w:t>Lubin</w:t>
      </w:r>
      <w:bookmarkStart w:id="0" w:name="_GoBack"/>
      <w:bookmarkEnd w:id="0"/>
    </w:p>
    <w:sectPr w:rsidR="00D911A6" w:rsidSect="002F3B0F">
      <w:pgSz w:w="11906" w:h="16838"/>
      <w:pgMar w:top="1440" w:right="1440" w:bottom="263" w:left="144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1AE"/>
    <w:multiLevelType w:val="multilevel"/>
    <w:tmpl w:val="EACE6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7E85"/>
    <w:multiLevelType w:val="multilevel"/>
    <w:tmpl w:val="EE282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1E6A"/>
    <w:multiLevelType w:val="multilevel"/>
    <w:tmpl w:val="062A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A453DD"/>
    <w:multiLevelType w:val="multilevel"/>
    <w:tmpl w:val="00EA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694A94"/>
    <w:multiLevelType w:val="multilevel"/>
    <w:tmpl w:val="86005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A369D"/>
    <w:multiLevelType w:val="multilevel"/>
    <w:tmpl w:val="CA12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A77687"/>
    <w:multiLevelType w:val="multilevel"/>
    <w:tmpl w:val="EB744C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3D75449"/>
    <w:multiLevelType w:val="multilevel"/>
    <w:tmpl w:val="5A0A8E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A6"/>
    <w:rsid w:val="002F3B0F"/>
    <w:rsid w:val="00D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F3CB4-EA0B-4EE1-BCA5-1A123967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theme="minorBidi"/>
        <w:szCs w:val="22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pPr>
      <w:widowControl w:val="0"/>
      <w:suppressAutoHyphens/>
      <w:spacing w:after="200"/>
    </w:pPr>
    <w:rPr>
      <w:rFonts w:cs="Arial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Wyrnienie">
    <w:name w:val="Wyróżnienie"/>
    <w:basedOn w:val="Domylnaczcionkaakapitu"/>
    <w:uiPriority w:val="20"/>
    <w:qFormat/>
    <w:rsid w:val="00D1197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  <w:lang/>
    </w:rPr>
  </w:style>
  <w:style w:type="character" w:customStyle="1" w:styleId="WW8Num4z0">
    <w:name w:val="WW8Num4z0"/>
    <w:rPr>
      <w:rFonts w:ascii="Calibri" w:eastAsia="Calibri" w:hAnsi="Calibri" w:cs="Times New Roman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1">
    <w:name w:val="ListLabel 1"/>
    <w:rPr>
      <w:sz w:val="20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320"/>
    <w:rPr>
      <w:rFonts w:ascii="Segoe UI" w:hAnsi="Segoe UI" w:cs="Mangal"/>
      <w:color w:val="00000A"/>
      <w:sz w:val="18"/>
      <w:szCs w:val="16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unhideWhenUsed/>
    <w:rsid w:val="00841CD9"/>
    <w:pPr>
      <w:keepNext/>
      <w:tabs>
        <w:tab w:val="center" w:pos="4680"/>
        <w:tab w:val="right" w:pos="9360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link w:val="PodtytuZnak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egenda">
    <w:name w:val="caption"/>
    <w:basedOn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uppressAutoHyphens/>
      <w:spacing w:after="200" w:line="240" w:lineRule="auto"/>
      <w:jc w:val="center"/>
    </w:pPr>
    <w:rPr>
      <w:rFonts w:cs="Arial"/>
      <w:b/>
      <w:color w:val="000000" w:themeColor="text1"/>
      <w:sz w:val="22"/>
    </w:rPr>
  </w:style>
  <w:style w:type="paragraph" w:customStyle="1" w:styleId="TitleStyle">
    <w:name w:val="TitleStyle"/>
    <w:pPr>
      <w:suppressAutoHyphens/>
      <w:spacing w:after="200" w:line="240" w:lineRule="auto"/>
    </w:pPr>
    <w:rPr>
      <w:rFonts w:cs="Arial"/>
      <w:b/>
      <w:color w:val="000000" w:themeColor="text1"/>
      <w:sz w:val="22"/>
    </w:rPr>
  </w:style>
  <w:style w:type="paragraph" w:customStyle="1" w:styleId="TitleCenterStyle">
    <w:name w:val="TitleCenterStyle"/>
    <w:pPr>
      <w:suppressAutoHyphens/>
      <w:spacing w:after="200" w:line="240" w:lineRule="auto"/>
      <w:jc w:val="center"/>
    </w:pPr>
    <w:rPr>
      <w:rFonts w:cs="Arial"/>
      <w:b/>
      <w:color w:val="000000" w:themeColor="text1"/>
      <w:sz w:val="22"/>
    </w:rPr>
  </w:style>
  <w:style w:type="paragraph" w:customStyle="1" w:styleId="NormalStyle">
    <w:name w:val="NormalStyle"/>
    <w:pPr>
      <w:suppressAutoHyphens/>
      <w:spacing w:line="240" w:lineRule="auto"/>
    </w:pPr>
    <w:rPr>
      <w:rFonts w:cs="Arial"/>
      <w:color w:val="000000" w:themeColor="text1"/>
      <w:sz w:val="22"/>
    </w:rPr>
  </w:style>
  <w:style w:type="paragraph" w:customStyle="1" w:styleId="NormalSpacingStyle">
    <w:name w:val="NormalSpacingStyle"/>
    <w:pPr>
      <w:suppressAutoHyphens/>
      <w:spacing w:after="200" w:line="240" w:lineRule="auto"/>
    </w:pPr>
    <w:rPr>
      <w:rFonts w:cs="Arial"/>
      <w:color w:val="000000" w:themeColor="text1"/>
      <w:sz w:val="22"/>
    </w:rPr>
  </w:style>
  <w:style w:type="paragraph" w:customStyle="1" w:styleId="BoldStyle">
    <w:name w:val="BoldStyle"/>
    <w:pPr>
      <w:suppressAutoHyphens/>
      <w:spacing w:line="240" w:lineRule="auto"/>
    </w:pPr>
    <w:rPr>
      <w:rFonts w:cs="Arial"/>
      <w:b/>
      <w:color w:val="000000" w:themeColor="text1"/>
      <w:sz w:val="22"/>
    </w:rPr>
  </w:style>
  <w:style w:type="paragraph" w:customStyle="1" w:styleId="DocDefaults">
    <w:name w:val="DocDefaults"/>
    <w:pPr>
      <w:suppressAutoHyphens/>
      <w:spacing w:after="200"/>
    </w:pPr>
    <w:rPr>
      <w:color w:val="00000A"/>
      <w:sz w:val="22"/>
    </w:rPr>
  </w:style>
  <w:style w:type="paragraph" w:styleId="Akapitzlist">
    <w:name w:val="List Paragraph"/>
    <w:basedOn w:val="Normalny"/>
    <w:pPr>
      <w:ind w:left="720"/>
    </w:pPr>
    <w:rPr>
      <w:rFonts w:ascii="Calibri" w:eastAsia="Calibri" w:hAnsi="Calibri" w:cs="Calibri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</w:style>
  <w:style w:type="paragraph" w:customStyle="1" w:styleId="Default">
    <w:name w:val="Default"/>
    <w:pPr>
      <w:widowControl w:val="0"/>
      <w:suppressAutoHyphens/>
    </w:pPr>
    <w:rPr>
      <w:rFonts w:ascii="Calibri" w:hAnsi="Calibri"/>
      <w:color w:val="000000"/>
      <w:sz w:val="24"/>
    </w:rPr>
  </w:style>
  <w:style w:type="paragraph" w:customStyle="1" w:styleId="Cytaty">
    <w:name w:val="Cytaty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A43320"/>
    <w:pPr>
      <w:spacing w:after="0" w:line="240" w:lineRule="auto"/>
    </w:pPr>
    <w:rPr>
      <w:rFonts w:ascii="Segoe UI" w:hAnsi="Segoe UI" w:cs="Mangal"/>
      <w:sz w:val="18"/>
      <w:szCs w:val="16"/>
    </w:rPr>
  </w:style>
  <w:style w:type="numbering" w:customStyle="1" w:styleId="WW8Num4">
    <w:name w:val="WW8Num4"/>
  </w:style>
  <w:style w:type="table" w:styleId="Tabela-Siatka">
    <w:name w:val="Table Grid"/>
    <w:basedOn w:val="Standardowy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955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Kalińska Agnieszka</cp:lastModifiedBy>
  <cp:revision>54</cp:revision>
  <cp:lastPrinted>2018-11-27T09:54:00Z</cp:lastPrinted>
  <dcterms:created xsi:type="dcterms:W3CDTF">2018-11-26T12:45:00Z</dcterms:created>
  <dcterms:modified xsi:type="dcterms:W3CDTF">2019-05-29T09:13:00Z</dcterms:modified>
  <dc:language>pl-PL</dc:language>
</cp:coreProperties>
</file>